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Правила участия в программ</w:t>
      </w:r>
      <w:r>
        <w:rPr>
          <w:sz w:val="28"/>
          <w:szCs w:val="28"/>
        </w:rPr>
        <w:t xml:space="preserve">ах </w:t>
      </w:r>
      <w:r>
        <w:rPr>
          <w:sz w:val="28"/>
          <w:szCs w:val="28"/>
        </w:rPr>
        <w:t xml:space="preserve">лояльности</w:t>
      </w:r>
      <w:r>
        <w:rPr>
          <w:sz w:val="28"/>
          <w:szCs w:val="28"/>
        </w:rPr>
        <w:t xml:space="preserve"> ООО «Клиника остеопатии Гайнуллина»</w:t>
      </w:r>
      <w:r>
        <w:rPr>
          <w:sz w:val="28"/>
          <w:szCs w:val="28"/>
        </w:rPr>
        <w:t xml:space="preserve">.</w:t>
      </w:r>
      <w:r/>
    </w:p>
    <w:p>
      <w:pPr>
        <w:jc w:val="center"/>
        <w:spacing w:after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9"/>
        <w:numPr>
          <w:ilvl w:val="0"/>
          <w:numId w:val="5"/>
        </w:numPr>
        <w:jc w:val="bot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Индивидуальная цена</w:t>
      </w:r>
      <w:r>
        <w:rPr>
          <w:sz w:val="24"/>
          <w:szCs w:val="24"/>
        </w:rPr>
        <w:t xml:space="preserve">.</w:t>
      </w:r>
      <w:r/>
    </w:p>
    <w:p>
      <w:pPr>
        <w:jc w:val="bot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Условия использования «Бонусов»:</w:t>
      </w:r>
      <w:r/>
    </w:p>
    <w:p>
      <w:pPr>
        <w:numPr>
          <w:ilvl w:val="0"/>
          <w:numId w:val="1"/>
        </w:numPr>
        <w:jc w:val="bot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Оплачивайте до </w:t>
      </w:r>
      <w:r>
        <w:rPr>
          <w:sz w:val="24"/>
          <w:szCs w:val="24"/>
        </w:rPr>
        <w:t xml:space="preserve">5</w:t>
      </w:r>
      <w:r>
        <w:rPr>
          <w:sz w:val="24"/>
          <w:szCs w:val="24"/>
        </w:rPr>
        <w:t xml:space="preserve">0% стоимости любых услуг клиники;</w:t>
      </w:r>
      <w:r/>
    </w:p>
    <w:p>
      <w:pPr>
        <w:numPr>
          <w:ilvl w:val="0"/>
          <w:numId w:val="1"/>
        </w:numPr>
        <w:jc w:val="bot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«Бонусы» не суммируются с начислениями, полученными за покупки в рамках иных акций;</w:t>
      </w:r>
      <w:r/>
    </w:p>
    <w:p>
      <w:pPr>
        <w:jc w:val="bot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Начало действия </w:t>
      </w:r>
      <w:r>
        <w:rPr>
          <w:sz w:val="24"/>
          <w:szCs w:val="24"/>
        </w:rPr>
        <w:t xml:space="preserve">П</w:t>
      </w:r>
      <w:r>
        <w:rPr>
          <w:sz w:val="24"/>
          <w:szCs w:val="24"/>
        </w:rPr>
        <w:t xml:space="preserve">рограммы – </w:t>
      </w:r>
      <w:r>
        <w:rPr>
          <w:sz w:val="24"/>
          <w:szCs w:val="24"/>
        </w:rPr>
        <w:t xml:space="preserve">20</w:t>
      </w:r>
      <w:r>
        <w:rPr>
          <w:sz w:val="24"/>
          <w:szCs w:val="24"/>
        </w:rPr>
        <w:t xml:space="preserve">.03.2022г.</w:t>
      </w:r>
      <w:r/>
    </w:p>
    <w:p>
      <w:pPr>
        <w:jc w:val="bot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Администрация клиники оставляет за собой право вносить изменения в условия проведения акции без предварительного уведомления.</w:t>
      </w:r>
      <w:r/>
    </w:p>
    <w:p>
      <w:pPr>
        <w:jc w:val="both"/>
        <w:spacing w:after="0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19"/>
        <w:numPr>
          <w:ilvl w:val="0"/>
          <w:numId w:val="5"/>
        </w:numPr>
        <w:jc w:val="bot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Условия участия в </w:t>
      </w:r>
      <w:r>
        <w:rPr>
          <w:sz w:val="24"/>
          <w:szCs w:val="24"/>
        </w:rPr>
        <w:t xml:space="preserve">П</w:t>
      </w:r>
      <w:r>
        <w:rPr>
          <w:sz w:val="24"/>
          <w:szCs w:val="24"/>
        </w:rPr>
        <w:t xml:space="preserve">рограмме.</w:t>
      </w:r>
      <w:r/>
    </w:p>
    <w:p>
      <w:pPr>
        <w:jc w:val="bot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Участником </w:t>
      </w:r>
      <w:r>
        <w:rPr>
          <w:sz w:val="24"/>
          <w:szCs w:val="24"/>
        </w:rPr>
        <w:t xml:space="preserve">П</w:t>
      </w:r>
      <w:r>
        <w:rPr>
          <w:sz w:val="24"/>
          <w:szCs w:val="24"/>
        </w:rPr>
        <w:t xml:space="preserve">рограммы лояльности может стать только физическое лицо, которое оплачивает стоимость услуг клиники из собственных средств.</w:t>
      </w:r>
      <w:r/>
    </w:p>
    <w:p>
      <w:pPr>
        <w:jc w:val="both"/>
        <w:spacing w:after="0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19"/>
        <w:numPr>
          <w:ilvl w:val="0"/>
          <w:numId w:val="5"/>
        </w:numPr>
        <w:jc w:val="bot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Регистрация в </w:t>
      </w:r>
      <w:r>
        <w:rPr>
          <w:sz w:val="24"/>
          <w:szCs w:val="24"/>
        </w:rPr>
        <w:t xml:space="preserve">П</w:t>
      </w:r>
      <w:r>
        <w:rPr>
          <w:sz w:val="24"/>
          <w:szCs w:val="24"/>
        </w:rPr>
        <w:t xml:space="preserve">рограмме</w:t>
      </w:r>
      <w:r>
        <w:rPr>
          <w:sz w:val="24"/>
          <w:szCs w:val="24"/>
        </w:rPr>
        <w:t xml:space="preserve">.</w:t>
      </w:r>
      <w:r/>
    </w:p>
    <w:p>
      <w:pPr>
        <w:jc w:val="bot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Для участия в Программе</w:t>
      </w:r>
      <w:r>
        <w:rPr>
          <w:sz w:val="24"/>
          <w:szCs w:val="24"/>
        </w:rPr>
        <w:t xml:space="preserve"> лояльности </w:t>
      </w:r>
      <w:r>
        <w:rPr>
          <w:sz w:val="24"/>
          <w:szCs w:val="24"/>
        </w:rPr>
        <w:t xml:space="preserve">необходимо</w:t>
      </w:r>
      <w:r>
        <w:rPr>
          <w:sz w:val="24"/>
          <w:szCs w:val="24"/>
        </w:rPr>
        <w:t xml:space="preserve"> оплатить услуги / товары </w:t>
      </w:r>
      <w:r>
        <w:rPr>
          <w:sz w:val="24"/>
          <w:szCs w:val="24"/>
        </w:rPr>
        <w:t xml:space="preserve">на сумму более 10 000 (десяти тысяч) руб. после </w:t>
      </w:r>
      <w:r>
        <w:rPr>
          <w:sz w:val="24"/>
          <w:szCs w:val="24"/>
        </w:rPr>
        <w:t xml:space="preserve">20</w:t>
      </w:r>
      <w:bookmarkStart w:id="0" w:name="_GoBack"/>
      <w:r/>
      <w:bookmarkEnd w:id="0"/>
      <w:r>
        <w:rPr>
          <w:sz w:val="24"/>
          <w:szCs w:val="24"/>
        </w:rPr>
        <w:t xml:space="preserve">.03.22г</w:t>
      </w:r>
      <w:r/>
    </w:p>
    <w:p>
      <w:pPr>
        <w:jc w:val="both"/>
        <w:spacing w:after="0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19"/>
        <w:numPr>
          <w:ilvl w:val="0"/>
          <w:numId w:val="5"/>
        </w:numPr>
        <w:jc w:val="bot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Начисление Бонусов</w:t>
      </w:r>
      <w:r/>
    </w:p>
    <w:p>
      <w:pPr>
        <w:jc w:val="bot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За прохождение услуг в клинике и покупки товаров, представленных ассортиментом клиники (ортопедическая подушка, индивидуальные стельки и др.), начисляются Бонусы в размере 3, 5, 7 или 10%, в зависимости от общей потраченной суммы:</w:t>
      </w:r>
      <w:r/>
    </w:p>
    <w:p>
      <w:pPr>
        <w:jc w:val="both"/>
        <w:spacing w:after="0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Style w:val="61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>
        <w:trPr/>
        <w:tc>
          <w:tcPr>
            <w:tcW w:w="4672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Потраченная сумма в рублях</w:t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% бонусных рублей</w:t>
            </w:r>
            <w:r/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10 000 (десяти тысяч)</w:t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3%</w:t>
            </w:r>
            <w:r/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</w:t>
            </w:r>
            <w:r>
              <w:rPr>
                <w:sz w:val="24"/>
                <w:szCs w:val="24"/>
              </w:rPr>
              <w:t xml:space="preserve"> 30 000 (тридцати тысяч)</w:t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5%</w:t>
            </w:r>
            <w:r/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</w:t>
            </w:r>
            <w:r>
              <w:rPr>
                <w:sz w:val="24"/>
                <w:szCs w:val="24"/>
              </w:rPr>
              <w:t xml:space="preserve"> 50 000 (пятидесяти тысяч)</w:t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7%</w:t>
            </w:r>
            <w:r/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100 000 (ста тысяч)</w:t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10%</w:t>
            </w:r>
            <w:r/>
          </w:p>
        </w:tc>
      </w:tr>
    </w:tbl>
    <w:p>
      <w:pPr>
        <w:jc w:val="both"/>
        <w:spacing w:after="0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bot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Бонусы начисляются сразу по достижению нужной суммы.</w:t>
      </w:r>
      <w:r/>
    </w:p>
    <w:p>
      <w:pPr>
        <w:jc w:val="both"/>
        <w:spacing w:after="0"/>
        <w:rPr>
          <w:sz w:val="24"/>
          <w:szCs w:val="24"/>
        </w:rPr>
      </w:pPr>
      <w:r/>
      <w:bookmarkStart w:id="1" w:name="_Hlk98179440"/>
      <w:r>
        <w:rPr>
          <w:sz w:val="24"/>
          <w:szCs w:val="24"/>
        </w:rPr>
        <w:t xml:space="preserve">Бонусы не начисляются:</w:t>
      </w:r>
      <w:r/>
    </w:p>
    <w:p>
      <w:pPr>
        <w:numPr>
          <w:ilvl w:val="0"/>
          <w:numId w:val="3"/>
        </w:numPr>
        <w:jc w:val="bot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При предоставлении скидки;</w:t>
      </w:r>
      <w:bookmarkEnd w:id="1"/>
      <w:r/>
    </w:p>
    <w:p>
      <w:pPr>
        <w:numPr>
          <w:ilvl w:val="0"/>
          <w:numId w:val="3"/>
        </w:numPr>
        <w:jc w:val="bot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На часть стоимости покупки, оплаченную с помощью Подарочных карт и сертификатов;</w:t>
      </w:r>
      <w:r/>
    </w:p>
    <w:p>
      <w:pPr>
        <w:numPr>
          <w:ilvl w:val="0"/>
          <w:numId w:val="3"/>
        </w:numPr>
        <w:jc w:val="bot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На часть стоимости услуг/товара, оплаченную с помощью Бонусов по программе лояльности;</w:t>
      </w:r>
      <w:r/>
    </w:p>
    <w:p>
      <w:pPr>
        <w:numPr>
          <w:ilvl w:val="0"/>
          <w:numId w:val="3"/>
        </w:numPr>
        <w:jc w:val="bot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При оплате товара по безналичному расчёту (при оплате платежными поручениями или за счёт средств страховых компаний / работодателя</w:t>
      </w:r>
      <w:r>
        <w:rPr>
          <w:sz w:val="24"/>
          <w:szCs w:val="24"/>
        </w:rPr>
        <w:t xml:space="preserve">)</w:t>
      </w:r>
      <w:r>
        <w:rPr>
          <w:sz w:val="24"/>
          <w:szCs w:val="24"/>
        </w:rPr>
        <w:t xml:space="preserve">;</w:t>
      </w:r>
      <w:r/>
    </w:p>
    <w:p>
      <w:pPr>
        <w:jc w:val="bot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 случае возврата оплаченных денег, Бонусы за возвращённый товар</w:t>
      </w:r>
      <w:r>
        <w:rPr>
          <w:sz w:val="24"/>
          <w:szCs w:val="24"/>
        </w:rPr>
        <w:t xml:space="preserve">/услугу </w:t>
      </w:r>
      <w:r>
        <w:rPr>
          <w:sz w:val="24"/>
          <w:szCs w:val="24"/>
        </w:rPr>
        <w:t xml:space="preserve">списываются с персонального счёта.</w:t>
      </w:r>
      <w:r/>
    </w:p>
    <w:p>
      <w:pPr>
        <w:jc w:val="both"/>
        <w:spacing w:after="0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19"/>
        <w:numPr>
          <w:ilvl w:val="0"/>
          <w:numId w:val="5"/>
        </w:numPr>
        <w:jc w:val="bot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Порядок использования Бонусов</w:t>
      </w:r>
      <w:r/>
    </w:p>
    <w:p>
      <w:pPr>
        <w:jc w:val="bot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Бонусными рублями </w:t>
      </w:r>
      <w:r>
        <w:rPr>
          <w:sz w:val="24"/>
          <w:szCs w:val="24"/>
        </w:rPr>
        <w:t xml:space="preserve">клиент </w:t>
      </w:r>
      <w:r>
        <w:rPr>
          <w:sz w:val="24"/>
          <w:szCs w:val="24"/>
        </w:rPr>
        <w:t xml:space="preserve">может оплатить до 50% стоимости любых услуг клиники, где 1 бонус = 1 рубль.</w:t>
      </w:r>
      <w:r/>
    </w:p>
    <w:p>
      <w:pPr>
        <w:jc w:val="bot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Срок действия начисленных Бонусов составляет </w:t>
      </w:r>
      <w:r>
        <w:rPr>
          <w:sz w:val="24"/>
          <w:szCs w:val="24"/>
        </w:rPr>
        <w:t xml:space="preserve">1 календарный год </w:t>
      </w:r>
      <w:r>
        <w:rPr>
          <w:sz w:val="24"/>
          <w:szCs w:val="24"/>
        </w:rPr>
        <w:t xml:space="preserve">со дня зачисления на персональный счёт. В случае неиспользо</w:t>
      </w:r>
      <w:r>
        <w:rPr>
          <w:sz w:val="24"/>
          <w:szCs w:val="24"/>
        </w:rPr>
        <w:t xml:space="preserve">вания Бонусов в указанный срок, они автоматически списываются с персонального счёта и не подлежат восстановлению. Списание Бонусов по сроку действия происходит в хронологическом порядке: сначала списываются Бонусы, зачисленные на персональный счёт первыми.</w:t>
      </w:r>
      <w:r/>
    </w:p>
    <w:p>
      <w:pPr>
        <w:jc w:val="bot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Если в течение </w:t>
      </w:r>
      <w:r>
        <w:rPr>
          <w:sz w:val="24"/>
          <w:szCs w:val="24"/>
        </w:rPr>
        <w:t xml:space="preserve">1 года </w:t>
      </w:r>
      <w:r>
        <w:rPr>
          <w:sz w:val="24"/>
          <w:szCs w:val="24"/>
        </w:rPr>
        <w:t xml:space="preserve">со дня зачисления Бонусов на счёт, </w:t>
      </w:r>
      <w:r>
        <w:rPr>
          <w:sz w:val="24"/>
          <w:szCs w:val="24"/>
        </w:rPr>
        <w:t xml:space="preserve">клиент </w:t>
      </w:r>
      <w:r>
        <w:rPr>
          <w:sz w:val="24"/>
          <w:szCs w:val="24"/>
        </w:rPr>
        <w:t xml:space="preserve">совершает покупку</w:t>
      </w:r>
      <w:r>
        <w:rPr>
          <w:sz w:val="24"/>
          <w:szCs w:val="24"/>
        </w:rPr>
        <w:t xml:space="preserve"> товара или получает услугу</w:t>
      </w:r>
      <w:r>
        <w:rPr>
          <w:sz w:val="24"/>
          <w:szCs w:val="24"/>
        </w:rPr>
        <w:t xml:space="preserve">, срок действия всех имеющихся у участника Бонусов пролонгируется на </w:t>
      </w:r>
      <w:r>
        <w:rPr>
          <w:sz w:val="24"/>
          <w:szCs w:val="24"/>
        </w:rPr>
        <w:t xml:space="preserve">1 год</w:t>
      </w:r>
      <w:r>
        <w:rPr>
          <w:sz w:val="24"/>
          <w:szCs w:val="24"/>
        </w:rPr>
        <w:t xml:space="preserve"> (отсчет ранее начисленных Бонусов, идет со дня совершения последней покупки</w:t>
      </w:r>
      <w:r>
        <w:rPr>
          <w:sz w:val="24"/>
          <w:szCs w:val="24"/>
        </w:rPr>
        <w:t xml:space="preserve"> / получения услуги</w:t>
      </w:r>
      <w:r>
        <w:rPr>
          <w:sz w:val="24"/>
          <w:szCs w:val="24"/>
        </w:rPr>
        <w:t xml:space="preserve">).</w:t>
      </w:r>
      <w:r/>
    </w:p>
    <w:p>
      <w:pPr>
        <w:jc w:val="bot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Бонусы не подлежат обмену на наличные денежные средства.</w:t>
      </w:r>
      <w:r/>
    </w:p>
    <w:p>
      <w:pPr>
        <w:jc w:val="both"/>
        <w:spacing w:after="0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19"/>
        <w:numPr>
          <w:ilvl w:val="0"/>
          <w:numId w:val="5"/>
        </w:numPr>
        <w:jc w:val="bot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Проверка баланса</w:t>
      </w:r>
      <w:r/>
    </w:p>
    <w:p>
      <w:pPr>
        <w:jc w:val="bot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Проверить баланс клиент может, обратившись к администратору клиники.</w:t>
      </w:r>
      <w:r/>
    </w:p>
    <w:p>
      <w:pPr>
        <w:jc w:val="both"/>
        <w:spacing w:after="0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19"/>
        <w:numPr>
          <w:ilvl w:val="0"/>
          <w:numId w:val="5"/>
        </w:numPr>
        <w:jc w:val="bot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Изменение условий участия в программе</w:t>
      </w:r>
      <w:r/>
    </w:p>
    <w:p>
      <w:pPr>
        <w:jc w:val="bot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ООО «Клиника остеопатии Гайнуллина» оставляет за собой право на изменения условий программы лояльности, которые могут быть изменены без предварительного уведомления участников программы.</w:t>
      </w:r>
      <w:r/>
    </w:p>
    <w:p>
      <w:pPr>
        <w:jc w:val="bot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Клиника имеет право прекратить действие программы в любой момент, размести</w:t>
      </w:r>
      <w:r>
        <w:rPr>
          <w:sz w:val="24"/>
          <w:szCs w:val="24"/>
        </w:rPr>
        <w:t xml:space="preserve">в</w:t>
      </w:r>
      <w:r>
        <w:rPr>
          <w:sz w:val="24"/>
          <w:szCs w:val="24"/>
        </w:rPr>
        <w:t xml:space="preserve"> информацию о прекращении за 2 (две) недели до предлагаемой даты прекращения</w:t>
      </w:r>
      <w:r>
        <w:rPr>
          <w:sz w:val="24"/>
          <w:szCs w:val="24"/>
        </w:rPr>
        <w:t xml:space="preserve"> на стенде</w:t>
      </w:r>
      <w:r>
        <w:rPr>
          <w:sz w:val="24"/>
          <w:szCs w:val="24"/>
        </w:rPr>
        <w:t xml:space="preserve"> в клинике и на сайте </w:t>
      </w:r>
      <w:r>
        <w:rPr>
          <w:sz w:val="24"/>
          <w:szCs w:val="24"/>
          <w:lang w:val="en-US"/>
        </w:rPr>
        <w:t xml:space="preserve">kliomed</w:t>
      </w:r>
      <w:r>
        <w:rPr>
          <w:sz w:val="24"/>
          <w:szCs w:val="24"/>
        </w:rPr>
        <w:t xml:space="preserve">.</w:t>
      </w:r>
      <w:r>
        <w:rPr>
          <w:sz w:val="24"/>
          <w:szCs w:val="24"/>
          <w:lang w:val="en-US"/>
        </w:rPr>
        <w:t xml:space="preserve">ru</w:t>
      </w:r>
      <w:r>
        <w:rPr>
          <w:sz w:val="24"/>
          <w:szCs w:val="24"/>
        </w:rPr>
        <w:t xml:space="preserve">.</w:t>
      </w:r>
      <w:r/>
    </w:p>
    <w:p>
      <w:pPr>
        <w:jc w:val="both"/>
        <w:spacing w:after="0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19"/>
        <w:numPr>
          <w:ilvl w:val="0"/>
          <w:numId w:val="5"/>
        </w:numPr>
        <w:jc w:val="bot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Отказ от участия в программе</w:t>
      </w:r>
      <w:r/>
    </w:p>
    <w:p>
      <w:pPr>
        <w:jc w:val="bot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Клиент вправе отказаться от участия в программе и (или) отозвать своё согласие на обработку персональных данных в любое время. Для этого необходимо обратиться к администратору клиники.</w:t>
      </w:r>
      <w:r/>
    </w:p>
    <w:p>
      <w:r/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Правила участия в программе «</w:t>
      </w:r>
      <w:r>
        <w:rPr>
          <w:sz w:val="28"/>
          <w:szCs w:val="28"/>
        </w:rPr>
        <w:t xml:space="preserve">КЕШБЭК ЗА ДРУГА</w:t>
      </w:r>
      <w:r>
        <w:rPr>
          <w:sz w:val="28"/>
          <w:szCs w:val="28"/>
        </w:rPr>
        <w:t xml:space="preserve">».</w:t>
      </w:r>
      <w:r/>
    </w:p>
    <w:p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участия в программе необходимо рекомендовать посетить нашу клинику.</w:t>
      </w:r>
      <w:r/>
    </w:p>
    <w:p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Клиент, пришедший по рекомендации, до оплаты должен сообщить об этом администратору и назвать номер телефона того, кто дал рекомендацию.</w:t>
      </w:r>
      <w:r/>
    </w:p>
    <w:p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Клиент получает единоразовую скидку на первое посещение в размере 3% от стоимости услуги. </w:t>
      </w:r>
      <w:r/>
    </w:p>
    <w:p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Рекомендовавшему нас, на его личный бонусный счёт, начисляется сумма бонусных рублей, в размере 5% от фактически внесённой клиентом суммы, потратить которые он может в соответствие с «программой лояльности», где 1 бонус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= 1 рубл</w:t>
      </w:r>
      <w:r>
        <w:rPr>
          <w:sz w:val="24"/>
          <w:szCs w:val="24"/>
        </w:rPr>
        <w:t xml:space="preserve">ь</w:t>
      </w:r>
      <w:r>
        <w:rPr>
          <w:sz w:val="24"/>
          <w:szCs w:val="24"/>
        </w:rPr>
        <w:t xml:space="preserve">.</w:t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center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Правила участия в программе «</w:t>
      </w:r>
      <w:r>
        <w:rPr>
          <w:sz w:val="28"/>
          <w:szCs w:val="28"/>
        </w:rPr>
        <w:t xml:space="preserve">БЛАГОДАРНОСТЬ ЗА ОТЗЫВ</w:t>
      </w:r>
      <w:r>
        <w:rPr>
          <w:sz w:val="28"/>
          <w:szCs w:val="28"/>
        </w:rPr>
        <w:t xml:space="preserve">».</w:t>
      </w:r>
      <w:r/>
    </w:p>
    <w:p>
      <w:pPr>
        <w:jc w:val="center"/>
        <w:spacing w:after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numPr>
          <w:ilvl w:val="0"/>
          <w:numId w:val="7"/>
        </w:numPr>
        <w:jc w:val="bot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Для участия в программе необходимо оставить отзыв о посещении нашей клиники на любом из сайтов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</w:t>
      </w:r>
      <w:r>
        <w:rPr>
          <w:sz w:val="24"/>
          <w:szCs w:val="24"/>
        </w:rPr>
        <w:t xml:space="preserve">Продокторов</w:t>
      </w:r>
      <w:r>
        <w:rPr>
          <w:sz w:val="24"/>
          <w:szCs w:val="24"/>
        </w:rPr>
        <w:t xml:space="preserve">, Яндекс карты, 2</w:t>
      </w:r>
      <w:r>
        <w:rPr>
          <w:sz w:val="24"/>
          <w:szCs w:val="24"/>
          <w:lang w:val="en-US"/>
        </w:rPr>
        <w:t xml:space="preserve">GIS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 xml:space="preserve">Google</w:t>
      </w:r>
      <w:r>
        <w:rPr>
          <w:sz w:val="24"/>
          <w:szCs w:val="24"/>
        </w:rPr>
        <w:t xml:space="preserve">, СберЗдоровье)</w:t>
      </w:r>
      <w:r>
        <w:rPr>
          <w:sz w:val="24"/>
          <w:szCs w:val="24"/>
        </w:rPr>
        <w:t xml:space="preserve">.</w:t>
      </w:r>
      <w:r/>
    </w:p>
    <w:p>
      <w:pPr>
        <w:jc w:val="both"/>
        <w:spacing w:after="0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numPr>
          <w:ilvl w:val="0"/>
          <w:numId w:val="7"/>
        </w:numPr>
        <w:jc w:val="bot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Прислать скриншот отзыва на нашу почту </w:t>
      </w:r>
      <w:r>
        <w:rPr>
          <w:sz w:val="24"/>
          <w:szCs w:val="24"/>
          <w:lang w:val="en-US"/>
        </w:rPr>
        <w:t xml:space="preserve">info</w:t>
      </w:r>
      <w:r>
        <w:rPr>
          <w:sz w:val="24"/>
          <w:szCs w:val="24"/>
        </w:rPr>
        <w:t xml:space="preserve">@</w:t>
      </w:r>
      <w:r>
        <w:rPr>
          <w:sz w:val="24"/>
          <w:szCs w:val="24"/>
          <w:lang w:val="en-US"/>
        </w:rPr>
        <w:t xml:space="preserve">kliomed</w:t>
      </w:r>
      <w:r>
        <w:rPr>
          <w:sz w:val="24"/>
          <w:szCs w:val="24"/>
        </w:rPr>
        <w:t xml:space="preserve">.</w:t>
      </w:r>
      <w:r>
        <w:rPr>
          <w:sz w:val="24"/>
          <w:szCs w:val="24"/>
          <w:lang w:val="en-US"/>
        </w:rPr>
        <w:t xml:space="preserve">ru</w:t>
      </w:r>
      <w:r>
        <w:rPr>
          <w:sz w:val="24"/>
          <w:szCs w:val="24"/>
        </w:rPr>
        <w:t xml:space="preserve"> или на номер </w:t>
      </w:r>
      <w:r>
        <w:rPr>
          <w:sz w:val="24"/>
          <w:szCs w:val="24"/>
          <w:lang w:val="en-US"/>
        </w:rPr>
        <w:t xml:space="preserve">WhatsApp</w:t>
      </w:r>
      <w:r>
        <w:rPr>
          <w:sz w:val="24"/>
          <w:szCs w:val="24"/>
        </w:rPr>
        <w:t xml:space="preserve"> / </w:t>
      </w:r>
      <w:r>
        <w:rPr>
          <w:sz w:val="24"/>
          <w:szCs w:val="24"/>
          <w:lang w:val="en-US"/>
        </w:rPr>
        <w:t xml:space="preserve">Telegram</w:t>
      </w:r>
      <w:r>
        <w:rPr>
          <w:sz w:val="24"/>
          <w:szCs w:val="24"/>
        </w:rPr>
        <w:t xml:space="preserve"> +7(960)048-46-40 </w:t>
      </w:r>
      <w:r>
        <w:rPr>
          <w:sz w:val="24"/>
          <w:szCs w:val="24"/>
        </w:rPr>
        <w:t xml:space="preserve">с указанием своего ФИО и номера телефона.</w:t>
      </w:r>
      <w:r/>
    </w:p>
    <w:p>
      <w:pPr>
        <w:jc w:val="both"/>
        <w:spacing w:after="0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numPr>
          <w:ilvl w:val="0"/>
          <w:numId w:val="7"/>
        </w:numPr>
        <w:jc w:val="bot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Мы начислим 300 бонусных рублей на Ваш личный счёт, которыми Вы сможете воспользоваться в соответствие с «программой лояльности», где 1 бонус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= 1 рубл</w:t>
      </w:r>
      <w:r>
        <w:rPr>
          <w:sz w:val="24"/>
          <w:szCs w:val="24"/>
        </w:rPr>
        <w:t xml:space="preserve">ь</w:t>
      </w:r>
      <w:r>
        <w:rPr>
          <w:sz w:val="24"/>
          <w:szCs w:val="24"/>
        </w:rPr>
        <w:t xml:space="preserve">.</w:t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12"/>
    <w:next w:val="612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13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12"/>
    <w:next w:val="612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13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12"/>
    <w:next w:val="612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13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12"/>
    <w:next w:val="612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13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12"/>
    <w:next w:val="612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13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12"/>
    <w:next w:val="612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13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12"/>
    <w:next w:val="612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13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12"/>
    <w:next w:val="612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13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12"/>
    <w:next w:val="612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13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12"/>
    <w:next w:val="612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13"/>
    <w:link w:val="32"/>
    <w:uiPriority w:val="10"/>
    <w:rPr>
      <w:sz w:val="48"/>
      <w:szCs w:val="48"/>
    </w:rPr>
  </w:style>
  <w:style w:type="paragraph" w:styleId="34">
    <w:name w:val="Subtitle"/>
    <w:basedOn w:val="612"/>
    <w:next w:val="612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13"/>
    <w:link w:val="34"/>
    <w:uiPriority w:val="11"/>
    <w:rPr>
      <w:sz w:val="24"/>
      <w:szCs w:val="24"/>
    </w:rPr>
  </w:style>
  <w:style w:type="paragraph" w:styleId="36">
    <w:name w:val="Quote"/>
    <w:basedOn w:val="612"/>
    <w:next w:val="612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12"/>
    <w:next w:val="612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12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13"/>
    <w:link w:val="40"/>
    <w:uiPriority w:val="99"/>
  </w:style>
  <w:style w:type="paragraph" w:styleId="42">
    <w:name w:val="Footer"/>
    <w:basedOn w:val="612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13"/>
    <w:link w:val="42"/>
    <w:uiPriority w:val="99"/>
  </w:style>
  <w:style w:type="paragraph" w:styleId="44">
    <w:name w:val="Caption"/>
    <w:basedOn w:val="612"/>
    <w:next w:val="61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1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6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6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6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6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6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6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6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6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6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6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6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6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6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612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13"/>
    <w:uiPriority w:val="99"/>
    <w:unhideWhenUsed/>
    <w:rPr>
      <w:vertAlign w:val="superscript"/>
    </w:rPr>
  </w:style>
  <w:style w:type="paragraph" w:styleId="176">
    <w:name w:val="endnote text"/>
    <w:basedOn w:val="612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13"/>
    <w:uiPriority w:val="99"/>
    <w:semiHidden/>
    <w:unhideWhenUsed/>
    <w:rPr>
      <w:vertAlign w:val="superscript"/>
    </w:rPr>
  </w:style>
  <w:style w:type="paragraph" w:styleId="179">
    <w:name w:val="toc 1"/>
    <w:basedOn w:val="612"/>
    <w:next w:val="612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12"/>
    <w:next w:val="612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12"/>
    <w:next w:val="612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12"/>
    <w:next w:val="612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12"/>
    <w:next w:val="612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12"/>
    <w:next w:val="612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12"/>
    <w:next w:val="612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12"/>
    <w:next w:val="612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12"/>
    <w:next w:val="612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12"/>
    <w:next w:val="612"/>
    <w:uiPriority w:val="99"/>
    <w:unhideWhenUsed/>
    <w:pPr>
      <w:spacing w:after="0" w:afterAutospacing="0"/>
    </w:pPr>
  </w:style>
  <w:style w:type="paragraph" w:styleId="612" w:default="1">
    <w:name w:val="Normal"/>
    <w:qFormat/>
  </w:style>
  <w:style w:type="character" w:styleId="613" w:default="1">
    <w:name w:val="Default Paragraph Font"/>
    <w:uiPriority w:val="1"/>
    <w:unhideWhenUsed/>
  </w:style>
  <w:style w:type="table" w:styleId="6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5" w:default="1">
    <w:name w:val="No List"/>
    <w:uiPriority w:val="99"/>
    <w:semiHidden/>
    <w:unhideWhenUsed/>
  </w:style>
  <w:style w:type="character" w:styleId="616">
    <w:name w:val="Hyperlink"/>
    <w:basedOn w:val="613"/>
    <w:uiPriority w:val="99"/>
    <w:unhideWhenUsed/>
    <w:rPr>
      <w:color w:val="0563C1" w:themeColor="hyperlink"/>
      <w:u w:val="single"/>
    </w:rPr>
  </w:style>
  <w:style w:type="character" w:styleId="617">
    <w:name w:val="Unresolved Mention"/>
    <w:basedOn w:val="613"/>
    <w:uiPriority w:val="99"/>
    <w:semiHidden/>
    <w:unhideWhenUsed/>
    <w:rPr>
      <w:color w:val="605E5C"/>
      <w:shd w:val="clear" w:fill="E1DFDD" w:color="auto"/>
    </w:rPr>
  </w:style>
  <w:style w:type="table" w:styleId="618">
    <w:name w:val="Table Grid"/>
    <w:basedOn w:val="614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619">
    <w:name w:val="List Paragraph"/>
    <w:basedOn w:val="612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R7-Office/6.4.2.34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Салихова</cp:lastModifiedBy>
  <cp:revision>6</cp:revision>
  <dcterms:created xsi:type="dcterms:W3CDTF">2022-03-11T09:13:00Z</dcterms:created>
  <dcterms:modified xsi:type="dcterms:W3CDTF">2022-03-16T05:53:04Z</dcterms:modified>
</cp:coreProperties>
</file>